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rsidR="00B76442" w:rsidRPr="002B61B6" w:rsidRDefault="00B76442" w:rsidP="00B76442">
      <w:pPr>
        <w:pStyle w:val="Geenafstand"/>
        <w:jc w:val="center"/>
        <w:rPr>
          <w:b/>
        </w:rPr>
      </w:pPr>
      <w:bookmarkStart w:id="0" w:name="_GoBack"/>
      <w:bookmarkEnd w:id="0"/>
      <w:r w:rsidRPr="002B61B6">
        <w:rPr>
          <w:b/>
        </w:rPr>
        <w:t>Checklist hoofdstuk 13 (vwo)</w:t>
      </w:r>
    </w:p>
    <w:p w:rsidR="00B76442" w:rsidRPr="004E71A4" w:rsidRDefault="00B76442" w:rsidP="00B76442">
      <w:pPr>
        <w:pStyle w:val="Geenafstand"/>
      </w:pPr>
    </w:p>
    <w:p w:rsidR="00B76442" w:rsidRDefault="00B76442" w:rsidP="00B76442">
      <w:pPr>
        <w:pStyle w:val="Geenafstand"/>
      </w:pPr>
      <w:r w:rsidRPr="004E71A4">
        <w:t>Als je dit hoofdstuk hebt bestudeert, kun je:</w:t>
      </w:r>
    </w:p>
    <w:p w:rsidR="00B76442" w:rsidRDefault="00B76442"/>
    <w:tbl>
      <w:tblPr>
        <w:tblStyle w:val="Tabelraster"/>
        <w:tblW w:w="0" w:type="auto"/>
        <w:tblLook w:val="04A0" w:firstRow="1" w:lastRow="0" w:firstColumn="1" w:lastColumn="0" w:noHBand="0" w:noVBand="1"/>
      </w:tblPr>
      <w:tblGrid>
        <w:gridCol w:w="4528"/>
        <w:gridCol w:w="4528"/>
      </w:tblGrid>
      <w:tr w:rsidR="00B76442" w:rsidTr="00B76442">
        <w:tc>
          <w:tcPr>
            <w:tcW w:w="4528" w:type="dxa"/>
          </w:tcPr>
          <w:p w:rsidR="00B76442" w:rsidRDefault="00B76442" w:rsidP="00B76442">
            <w:pPr>
              <w:pStyle w:val="Geenafstand"/>
              <w:numPr>
                <w:ilvl w:val="0"/>
                <w:numId w:val="2"/>
              </w:numPr>
              <w:ind w:left="452" w:hanging="425"/>
            </w:pPr>
            <w:r>
              <w:t>economische definitie geven van produceren,</w:t>
            </w:r>
          </w:p>
          <w:p w:rsidR="00B76442" w:rsidRDefault="00B76442" w:rsidP="00B76442">
            <w:pPr>
              <w:pStyle w:val="Geenafstand"/>
              <w:ind w:left="452"/>
            </w:pPr>
          </w:p>
          <w:p w:rsidR="00B76442" w:rsidRDefault="00B76442" w:rsidP="00B76442">
            <w:pPr>
              <w:pStyle w:val="Geenafstand"/>
              <w:numPr>
                <w:ilvl w:val="0"/>
                <w:numId w:val="2"/>
              </w:numPr>
              <w:ind w:left="452" w:hanging="425"/>
            </w:pPr>
            <w:r>
              <w:t>de vier belangrijke productiefactoren benoemen,</w:t>
            </w:r>
          </w:p>
          <w:p w:rsidR="00B76442" w:rsidRDefault="00B76442" w:rsidP="00B76442">
            <w:pPr>
              <w:pStyle w:val="Geenafstand"/>
            </w:pPr>
          </w:p>
          <w:p w:rsidR="00B76442" w:rsidRDefault="00B76442" w:rsidP="00B76442">
            <w:pPr>
              <w:pStyle w:val="Geenafstand"/>
              <w:numPr>
                <w:ilvl w:val="0"/>
                <w:numId w:val="2"/>
              </w:numPr>
              <w:ind w:left="452" w:hanging="425"/>
            </w:pPr>
            <w:r>
              <w:t>met behulp van een eenvoudig kringloopschema het verband laten zien tussen de markten voor eindproducten en die voor productiefactoren,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uitleggen dat arbeid geen heterogeen goed is,</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een definitie geven van het begrip participatiegraad,</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het onderscheid maken tussen vaste en vlottende kapitaalgoederen,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je met behulp van het begrip kapitaalintensiteit duidelijk maken wat het verschil is tussen diepte- en breedte-investeringen,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uitleggen wat het onderscheid is tussen vervangings- en uitbreidingsinvesteringen,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het verschil duidelijk maken tussen bruto- en netto-investeringen,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 xml:space="preserve">met behulp van een schema berekeningen maken met deze verschillende investeringen, </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een definitie geven van het begrip “bezettingsgraad”,</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uitleggen wat het verschil is tussen productinnovatie en procesinnovatie,</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een definitie geven van het begrip “externe effecten” en met voorbeelden duidelijk maken dat er zowel negatieve als positieve externe effecten zijn,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lastRenderedPageBreak/>
              <w:t>omschrijven wat we onder duurzame economische groei verstaan,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uitleggen dat natuur zowel een productie- als een consumptiegoed kan zijn,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uitleggen op welke wijze de overheid kan proberen de kwaliteit van de productiefactor “ondernemerskwaliteit” te verhogen,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de beloningen noemen van de verschillende productiefactoren,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waarom de ondernemerspremie (beloning voor het ondernemerschap) niet hetzelfde is als de winst van het bedrijf,</w:t>
            </w:r>
          </w:p>
          <w:p w:rsidR="00B76442" w:rsidRDefault="00B76442" w:rsidP="00B76442">
            <w:pPr>
              <w:pStyle w:val="Geenafstand"/>
              <w:ind w:left="452" w:hanging="425"/>
            </w:pP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vertellen wanneer we over een scheve inkomensverdeling spreken,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in 5 à 6 stappen beschrijven hoe economen een Lorenzcurve samenstellen,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het doel van de Lorenzcurve benoemen,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uitleggen waarin de personele inkomensverdeling verschilt met die van de categoriale inkomensverdeling,</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 xml:space="preserve">op eenvoudige wijze beschrijven hoe je uit de Lorenzcurve de </w:t>
            </w:r>
            <w:proofErr w:type="spellStart"/>
            <w:r>
              <w:t>ginicoëfficiënt</w:t>
            </w:r>
            <w:proofErr w:type="spellEnd"/>
            <w:r>
              <w:t xml:space="preserve"> kan afleiden,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uitleggen hoe de overheid met haar begrotingsbeleid inkomens kan nivelleren (of denivelleren),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duidelijk maken wat het verschil is tussen primaire inkomens en overdrachtsinkomens,</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(met behulp van een getallenvoorbeeld) het verschil duidelijk maken tussen een degressief, een proportioneel en een progressief belastingstelsel,</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Het verschil uitleggen tussen belastingontduiking en belastingontwijking,</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lastRenderedPageBreak/>
              <w:t xml:space="preserve">het nut duidelijk maken van de </w:t>
            </w:r>
            <w:proofErr w:type="spellStart"/>
            <w:r>
              <w:t>Laffercurve</w:t>
            </w:r>
            <w:proofErr w:type="spellEnd"/>
            <w:r>
              <w:t>,</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uitleggen dat de kostprijsverhogende belastingen ook bijdragen aan de inkomensnivellering,</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(met voorbeelden) het verband laten zien tussen bruto inkomen, aftrekposten, bijtellingen en belastbaar inkomen,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duidelijk maken wat wij onder de premiegrens verstaan en dat ook toelichten,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het schijvenstelsel van box 1 toelichten en tevens toepassen met getallenvoorbeelden,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de werking van box 3 uitleggen met behulp van begrippen als vermogen, belastingvrij vermogensbedrag, fictief rendement en de rendementsheffing,</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uitleggen waarom er meer soorten heffingskortingen zijn,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verklaren wat een vlaktaks-belastingstelsel inhoudt en wat het grote voordeel van zo’n stelsel is,</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duidelijk maken wat het verschil is tussen de gemiddelde en de marginale belastingdruk,</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een definitie geven van het begrip collectieve lasten,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duidelijk maken op welke wijze de overheid de rol van de collectieve sector kan terugdringen,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uitleggen wat we met privatisering bedoelen</w:t>
            </w:r>
          </w:p>
          <w:p w:rsidR="00B76442" w:rsidRDefault="00B76442" w:rsidP="00B76442">
            <w:pPr>
              <w:pStyle w:val="Geenafstand"/>
              <w:ind w:left="452" w:hanging="425"/>
            </w:pPr>
          </w:p>
          <w:p w:rsidR="00B76442" w:rsidRDefault="00B76442" w:rsidP="00B76442">
            <w:pPr>
              <w:pStyle w:val="Geenafstand"/>
              <w:numPr>
                <w:ilvl w:val="0"/>
                <w:numId w:val="2"/>
              </w:numPr>
              <w:ind w:left="452" w:hanging="425"/>
            </w:pPr>
            <w:r>
              <w:t>uitleggen wat we met deregulering bedoelen</w:t>
            </w:r>
          </w:p>
          <w:p w:rsidR="00B76442" w:rsidRDefault="00B76442"/>
        </w:tc>
        <w:tc>
          <w:tcPr>
            <w:tcW w:w="4528" w:type="dxa"/>
          </w:tcPr>
          <w:p w:rsidR="00B76442" w:rsidRDefault="00B76442"/>
        </w:tc>
      </w:tr>
    </w:tbl>
    <w:p w:rsidR="00B76442" w:rsidRDefault="00B76442"/>
    <w:p w:rsidR="00B76442" w:rsidRDefault="00B76442">
      <w:r>
        <w:br w:type="page"/>
      </w:r>
    </w:p>
    <w:p w:rsidR="00DB7469" w:rsidRPr="00E649FA" w:rsidRDefault="00DB7469" w:rsidP="00DB7469">
      <w:pPr>
        <w:pStyle w:val="Geenafstand"/>
        <w:jc w:val="center"/>
        <w:rPr>
          <w:b/>
        </w:rPr>
      </w:pPr>
      <w:r w:rsidRPr="00E649FA">
        <w:rPr>
          <w:b/>
        </w:rPr>
        <w:lastRenderedPageBreak/>
        <w:t>Checklist hoofdstuk 14</w:t>
      </w:r>
    </w:p>
    <w:p w:rsidR="00DB7469" w:rsidRDefault="00DB7469" w:rsidP="00DB7469">
      <w:pPr>
        <w:pStyle w:val="Geenafstand"/>
      </w:pPr>
    </w:p>
    <w:p w:rsidR="00DB7469" w:rsidRDefault="00DB7469" w:rsidP="00DB7469">
      <w:pPr>
        <w:pStyle w:val="Geenafstand"/>
      </w:pPr>
      <w:r>
        <w:t>Als je dit hoofdstuk hebt bestudeerd kun je:</w:t>
      </w:r>
    </w:p>
    <w:p w:rsidR="00DB7469" w:rsidRDefault="00DB7469"/>
    <w:tbl>
      <w:tblPr>
        <w:tblStyle w:val="Tabelraster"/>
        <w:tblW w:w="0" w:type="auto"/>
        <w:tblLook w:val="04A0" w:firstRow="1" w:lastRow="0" w:firstColumn="1" w:lastColumn="0" w:noHBand="0" w:noVBand="1"/>
      </w:tblPr>
      <w:tblGrid>
        <w:gridCol w:w="4528"/>
        <w:gridCol w:w="4528"/>
      </w:tblGrid>
      <w:tr w:rsidR="00DB7469" w:rsidTr="00DB7469">
        <w:tc>
          <w:tcPr>
            <w:tcW w:w="4528" w:type="dxa"/>
          </w:tcPr>
          <w:p w:rsidR="00DB7469" w:rsidRDefault="00DB7469" w:rsidP="00DB7469">
            <w:pPr>
              <w:pStyle w:val="Geenafstand"/>
              <w:numPr>
                <w:ilvl w:val="0"/>
                <w:numId w:val="3"/>
              </w:numPr>
              <w:ind w:left="311" w:hanging="311"/>
            </w:pPr>
            <w:r>
              <w:t>uitleggen hoe we in Nederland de productie van een bedrijf meten,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het verschil uitleggen tussen de omzet, de inkoop en de toegevoegde waarde van een bedrijf,</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Het verschil duidelijk maken tussen de bruto- en de netto toegevoegde waarde,</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duidelijk maken waaruit de netto toegevoegde waarde van een bedrijf bestaat,</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zeggen welke instantie de gegevens verzamelen, die nodig zijn om het nationaal product te kunnen berekenen en welke instantie de gegevens die nodig zijn voor de berekening van het nationaal inkomen,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uitleggen waarom het nationaal inkomen gelijk is aan het nationaal product,</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met voorbeelden duidelijk maken wat het verschil is tussen welvaart in enge en ruime zin.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Een definitie geven van het begrip “categoriale inkomensverdeling”,</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uitleggen wat het belangrijkste verschil tussen de begrippen loonquote en arbeidsinkomensquote,</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de samenhang aangeven tussen de netto winst van een ondernemer, het toegerekend loon zelfstandigen en de ondernemerspremie (ook wel ondernemersloon genoemd),</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het praktische verband duidelijk maken tussen de AIQ en de WIQ, waardoor de AIQ een bruikbare maatstaf is voor de winstgevendheid van het bedrijfsleven,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lastRenderedPageBreak/>
              <w:t>uitleggen wat we bedoelen met de loonruimte en aangeven waar dit begrip een rol bij speelt,</w:t>
            </w:r>
          </w:p>
          <w:p w:rsidR="00DB7469" w:rsidRDefault="00DB7469" w:rsidP="00DB7469">
            <w:pPr>
              <w:pStyle w:val="Geenafstand"/>
              <w:ind w:left="311" w:hanging="311"/>
            </w:pP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beschrijven welke vijf sectoren een rol spelen in het moderne kringloopmodel,</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duidelijk maken wat de pijlen in het kringloopschema voorstellen en daarmee kunnen verklaren waarom de exportpijl naar de bedrijven zelf toe gaat,</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verklaren waarom elke pijl bij twee sectoren thuis hoort,</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het verschil uitleggen tussen de overheidsbestedingen en de overdrachtsuitgaven van de overheid,</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beschrijven welk soort overheidsbestedingen wij onderscheiden,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duidelijk maken wat het verschil is tussen personele en materiële consumptie,</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uitleggen wat het onderscheid is tussen het bestedingseffect van investeringen en het capaciteitseffect daarvan,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twee factoren noemen waarvan de investeringen afhankelijk zijn,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het onderscheid maken tussen particuliere bestedingen, nationale bestedingen en de totale bestedingen in een land,</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uit het kringloopschema de formule voor het nationaal inkomen (Y) kunnen afleiden)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verklaren waarom de effectieve vraag gelijk is aan de productie in een land.</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verklaren waarom de effectieve vraag gelijk is aan het nationaal inkomen,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duidelijk maken wat het verschil is tussen de productie uitgedrukt in factorkosten en marktprijzen,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uitleggen wat het verschil is tussen de nationale en de binnenlandse productie,</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onderscheid maken tussen de netto en de bruto productie,</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berekeningen maken met al deze productiebegrippen,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bij de berekening van het nationaal product onderscheid maken tussen de subjectieve methode, de objectieve methode  en de bestedingen methode,</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de twee publicaties van het Centraal Planbureau noemen,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duidelijk maken wat economen met de begrippen ex-post en ex-ante bedoelen,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aangeven waaruit het verschil bestaat tussen een gesloten en een open economie,</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uitleggen wat we onder de nationale rekeningen verstaan en hoe we deze kunnen samenstellen met behulp van het kringloopmodel,</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duidelijk maken op welke twee manieren we het nationaal inkomen kunnen berekenen met behulp van de nationale rekeningen,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een definitie geven van het begrip “evenwichtsinkomen”,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duidelijk maken wat we onder de middelen en de bestedingen verstaan in de “staat van Middelen en Bestedingen”,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uitleggen wat economen onder “lopende prijzen” verstaan,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uitleggen hoe we met behulp van de staat van Middelen en Bestedingen de nominale en de reële ontwikkeling van de economie kunnen bepalen,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aangeven wat het kenmerk is van het evenwichtsinkomen en waarom dat gewenst is,</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 xml:space="preserve">uitleggen wat economen bedoelen met het particulier spaarsaldo, het begrotingssaldo, </w:t>
            </w:r>
            <w:r>
              <w:lastRenderedPageBreak/>
              <w:t>het nationaal spaarsaldo en  het saldo buitenland,</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laten zien hoe deze vier saldi met elkaar samenhangen,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duidelijk maken wat het verschil is tussen definitievergelijkingen en gedragsvergelijkingen die gebruikt worden in het macro-economisch model,</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uitleggen wat het verschil is tussen exogene en endogene variabelen die in het macro economisch model zijn verwerkt,</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voor een eenvoudig macro-economisch model het evenwichtsinkomen uitrekenen en daarna met de formule “(S – I) + (B – O) = (E – M)” aantonen dat het berekende evenwichtsinkomen juist is.</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een definitie geven van de multiplier, ook wel inkomensvermenigvuldiger genoemd,</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uitleggen waarom een stijging van de overheidsinvesteringen leidt tot een stijging van het nationaal inkomen die groter is dan de oorspronkelijke investering,</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kun je uitleggen dat een stijging van de overheidsinvesteringen invloed heeft op het begrotingssaldo zelf, op het particulier spaarsaldo en het saldo buitenland,</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de werking van het belastinglek, het invoerlek en het spaarlek duidelijk maken,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verklaren dat een stijging van het nationale inkomen de ene keer leidt tot een hogere werkgelegenheid en een andere keer tot hogere prijzen en soms tot beide verschijnselen tegelijk.</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de werking van het inverdieneffect uitleggen,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t>uitleggen dat er bij het evenwichtsinkomen geen sprake hoeft te zijn van volledige werkgelegenheid en dat er conjunctuurwerkloosheid en of structuurwerkloosheid  kan bestaan,</w:t>
            </w:r>
          </w:p>
          <w:p w:rsidR="00DB7469" w:rsidRDefault="00DB7469" w:rsidP="00DB7469">
            <w:pPr>
              <w:pStyle w:val="Geenafstand"/>
              <w:ind w:left="311" w:hanging="311"/>
            </w:pPr>
          </w:p>
          <w:p w:rsidR="00DB7469" w:rsidRDefault="00DB7469" w:rsidP="00DB7469">
            <w:pPr>
              <w:pStyle w:val="Geenafstand"/>
              <w:numPr>
                <w:ilvl w:val="0"/>
                <w:numId w:val="3"/>
              </w:numPr>
              <w:ind w:left="311" w:hanging="311"/>
            </w:pPr>
            <w:r>
              <w:lastRenderedPageBreak/>
              <w:t xml:space="preserve">met behulp van het macro-economisch model een aantal instrumenten noemen waarmee een overheid kan proberen om het evenwichtsinkomen en het </w:t>
            </w:r>
            <w:proofErr w:type="spellStart"/>
            <w:r>
              <w:t>bestedingsevenwichts</w:t>
            </w:r>
            <w:proofErr w:type="spellEnd"/>
            <w:r>
              <w:t xml:space="preserve">-inkomen (volledige werkgelegenheid) aan elkaar gelijk te maken. </w:t>
            </w:r>
          </w:p>
          <w:p w:rsidR="00DB7469" w:rsidRDefault="00DB7469"/>
        </w:tc>
        <w:tc>
          <w:tcPr>
            <w:tcW w:w="4528" w:type="dxa"/>
          </w:tcPr>
          <w:p w:rsidR="00DB7469" w:rsidRDefault="00DB7469"/>
        </w:tc>
      </w:tr>
    </w:tbl>
    <w:p w:rsidR="00DB7469" w:rsidRDefault="00DB7469"/>
    <w:p w:rsidR="00DB7469" w:rsidRDefault="00DB7469">
      <w:r>
        <w:br w:type="page"/>
      </w:r>
    </w:p>
    <w:p w:rsidR="00DB7469" w:rsidRPr="00B727BD" w:rsidRDefault="00DB7469" w:rsidP="00DB7469">
      <w:pPr>
        <w:pStyle w:val="Geenafstand"/>
        <w:jc w:val="center"/>
        <w:rPr>
          <w:b/>
        </w:rPr>
      </w:pPr>
      <w:r>
        <w:rPr>
          <w:b/>
        </w:rPr>
        <w:lastRenderedPageBreak/>
        <w:t>Checklist hoofdstuk 15 (vwo)</w:t>
      </w:r>
    </w:p>
    <w:p w:rsidR="00DB7469" w:rsidRDefault="00DB7469" w:rsidP="00DB7469">
      <w:pPr>
        <w:pStyle w:val="Geenafstand"/>
      </w:pPr>
    </w:p>
    <w:p w:rsidR="00DB7469" w:rsidRDefault="00DB7469" w:rsidP="00DB7469">
      <w:pPr>
        <w:pStyle w:val="Geenafstand"/>
      </w:pPr>
      <w:r>
        <w:t>Als je dit hoofdstuk hebt bestudeerd kun je:</w:t>
      </w:r>
    </w:p>
    <w:p w:rsidR="00DB7469" w:rsidRDefault="00DB7469"/>
    <w:tbl>
      <w:tblPr>
        <w:tblStyle w:val="Tabelraster"/>
        <w:tblW w:w="0" w:type="auto"/>
        <w:tblLook w:val="04A0" w:firstRow="1" w:lastRow="0" w:firstColumn="1" w:lastColumn="0" w:noHBand="0" w:noVBand="1"/>
      </w:tblPr>
      <w:tblGrid>
        <w:gridCol w:w="4528"/>
        <w:gridCol w:w="4528"/>
      </w:tblGrid>
      <w:tr w:rsidR="00DB7469" w:rsidTr="00DB7469">
        <w:tc>
          <w:tcPr>
            <w:tcW w:w="4528" w:type="dxa"/>
          </w:tcPr>
          <w:p w:rsidR="00DB7469" w:rsidRDefault="00DB7469" w:rsidP="00DB7469">
            <w:pPr>
              <w:pStyle w:val="Geenafstand"/>
              <w:numPr>
                <w:ilvl w:val="0"/>
                <w:numId w:val="4"/>
              </w:numPr>
              <w:ind w:left="311" w:hanging="284"/>
            </w:pPr>
            <w:r>
              <w:t>met een flink aantal voorbeelden duidelijk maken dat in de economische wereld goede en slechte tijden voorkomen,</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met een voorbeeld duidelijk maken wat met het begrip geldillusie wordt bedoeld,</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uitleggen wat prijsrigiditeit is en waarom dit verschijnsel voorkomt,</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verklaren waarom minder prijsrigiditeit op de huizenmarkt de afstemming van vraag en aanbod de afgelopen jaren een stuk gemakkelijker zou hebben gemaakt,</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verklaren wanneer het bezit van een huis het vermogen van de eigenaar kan doen dalen of juist doet toenemen,</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uitleggen waarom de arbeidsmarkt gaan volkomen concurrentie kent,</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uitleggen wat we bedoelen met het begrip “arbeidsmobiliteit”,</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methoden noemen waarmee de overheid de arbeidsmobiliteit kan verbeteren,</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uitleggen waarom in de VS de arbeidsmobiliteit hoger is dan in Nederland (denk aan de sociale zekerheid en de huizencrisis),</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het ontstaan van seizoenwerkloosheid beschrijven,</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uitleggen wat economen met frictiewerkloosheid bedoelen,</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uitleggen wanneer er sprake is van een krappe of een ruime arbeidsmarkt,</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(met behulp van een schema) het verschil duidelijk maken tussen conjunctuur- en structuurwerkloosheid,</w:t>
            </w:r>
          </w:p>
          <w:p w:rsidR="00DB7469" w:rsidRDefault="00DB7469" w:rsidP="00DB7469">
            <w:pPr>
              <w:pStyle w:val="Geenafstand"/>
              <w:ind w:left="311" w:hanging="284"/>
            </w:pP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lastRenderedPageBreak/>
              <w:t>Een definitie geven van het begrip “afhankelijke beroepsbevolking”,</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berekeningen maken met begrippen als productiecapaciteit, effectieve vraag, structuur- en conjunctuurwerkloosheid en arbeidsproductiviteit,</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het verschil duidelijk maken tussen kwalitatieve en kwantitatieve structuurwerkloosheid,</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de vijf soorten bestedingen noemen, die deel uitmaken van de effectieve vraag,</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uitleggen wat het verband is tussen de hoogte van de rente en de bestedingen (effectieve vraag),</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uitleggen wat het verband is tussen de hoogte van de belastingtarieven en de bestedingen,</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verklaren waarom de hoogte van de effectieve vraag direct samenhangt met de werkgelegenheid (vraag naar arbeid),</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uitleggen waarom er structuurwerkloosheid bestaat als de beroepsbevolking groter is dan de werkgelegenheid bij een volledig bezette productiecapaciteit,</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uitleggen waarom de structuurwerkloosheid daalt bij maatregelen als  1) arbeidstijdverkorting, 2) verlaging van de pensioenleeftijd en 3) uitbreidingsinvesteringen te doen,</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verklaren waarom scholing de structuurwerkloosheid kan verminderen,</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uitleggen wat economen bedoelen met een trendmatige economische groei,</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het verschil duidelijk maken tussen een laag- en een hoogconjunctuur,</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verklaren wanneer een toename van de bestedingen leidt tot bestedingsinflatie en wanneer tot een daling van de conjunctuurwerkloosheid,</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lastRenderedPageBreak/>
              <w:t>het verschil duidelijk maken tussen onder- en overbesteding,</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de vier fasen onderscheiden in een conjunctuurcyclus,</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met deze fasen de werking van de conjunctuurklok van het CBS beschrijven,</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beschrijven wat we onder een conjunctuurindicator verstaan,</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minimaal zeven  conjunctuurindicatoren noemen,</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de werking van anticyclische begrotingspolitiek beschrijven,</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uitleggen waarom deze politiek in de Nederlandse situatie niet goed werkt,</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verklaren dat een hoge rente een goed instrument is om een hoogconjunctuur af te remmen,</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verklaren waarom DNB dit instrument tegenwoordig niet meer kan toepassen,</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uitleggen waarom economen vaak onderscheid maken tussen welvaartsgroei in enge zin en welvaartsgroei (in ruime zin),</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het verschil aangeven tussen de formele en de informele economie,</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uitleggen waarom de welvaart in een land vaak hoger is dan uit de officiële statistieken blijkt (vooral in Zuid-Europa),</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uitleggen van welke factoren de productiecapaciteit van een land van afhangt,</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verklaren dat de werkelijke productie vrijwel nooit gelijk is aan de productiecapaciteit en soms zelfs hoger kan zijn,</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in grote lijnen het verschil aangeven tussen het conjunctuurbeleid en het structuurbeleid van de overheid,</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lastRenderedPageBreak/>
              <w:t>overheidsmaatregelen om de economie te stimuleren verdelen in conjuncturele en structurele maatregelen,</w:t>
            </w:r>
          </w:p>
          <w:p w:rsidR="00DB7469" w:rsidRDefault="00DB7469" w:rsidP="00DB7469">
            <w:pPr>
              <w:pStyle w:val="Geenafstand"/>
              <w:ind w:left="311" w:hanging="284"/>
            </w:pPr>
          </w:p>
          <w:p w:rsidR="00DB7469" w:rsidRDefault="00DB7469" w:rsidP="00DB7469">
            <w:pPr>
              <w:pStyle w:val="Geenafstand"/>
              <w:numPr>
                <w:ilvl w:val="0"/>
                <w:numId w:val="4"/>
              </w:numPr>
              <w:ind w:left="311" w:hanging="284"/>
            </w:pPr>
            <w:r>
              <w:t>uitleggen waarom het arbeidsmarktbeleid (emancipatie, arbeidstijd), het milieubeleid (wetten, subsidies, belastingen), het regionaal beleid, het investeringsbeleid (innovatiesubsidies) en het infrastructuurbeleid (aanleg wegen, tunnels, spoorwegen, vliegvelden) behoren tot het structuurbeleid van de overheid,</w:t>
            </w:r>
          </w:p>
          <w:p w:rsidR="00DB7469" w:rsidRDefault="00DB7469"/>
        </w:tc>
        <w:tc>
          <w:tcPr>
            <w:tcW w:w="4528" w:type="dxa"/>
          </w:tcPr>
          <w:p w:rsidR="00DB7469" w:rsidRDefault="00DB7469"/>
        </w:tc>
      </w:tr>
    </w:tbl>
    <w:p w:rsidR="00DB7469" w:rsidRDefault="00DB7469"/>
    <w:p w:rsidR="00DB7469" w:rsidRDefault="00DB7469"/>
    <w:p w:rsidR="00DB7469" w:rsidRDefault="00DB7469">
      <w:r>
        <w:br w:type="page"/>
      </w:r>
    </w:p>
    <w:p w:rsidR="00DB7469" w:rsidRPr="00904C92" w:rsidRDefault="00DB7469" w:rsidP="00DB7469">
      <w:pPr>
        <w:pStyle w:val="Geenafstand"/>
        <w:jc w:val="center"/>
        <w:rPr>
          <w:b/>
        </w:rPr>
      </w:pPr>
      <w:r>
        <w:rPr>
          <w:b/>
        </w:rPr>
        <w:lastRenderedPageBreak/>
        <w:t>Checklist hoofdstuk 16 (vwo</w:t>
      </w:r>
      <w:r w:rsidRPr="00904C92">
        <w:rPr>
          <w:b/>
        </w:rPr>
        <w:t>)</w:t>
      </w:r>
    </w:p>
    <w:p w:rsidR="00DB7469" w:rsidRDefault="00DB7469" w:rsidP="00DB7469">
      <w:pPr>
        <w:pStyle w:val="Geenafstand"/>
      </w:pPr>
    </w:p>
    <w:p w:rsidR="00DB7469" w:rsidRDefault="00DB7469" w:rsidP="00DB7469">
      <w:pPr>
        <w:pStyle w:val="Geenafstand"/>
      </w:pPr>
      <w:r>
        <w:t>Als je dit hoofdstuk hebt bestudeerd kun je:</w:t>
      </w:r>
    </w:p>
    <w:p w:rsidR="00B76442" w:rsidRDefault="00B76442"/>
    <w:tbl>
      <w:tblPr>
        <w:tblStyle w:val="Tabelraster"/>
        <w:tblW w:w="0" w:type="auto"/>
        <w:tblLook w:val="04A0" w:firstRow="1" w:lastRow="0" w:firstColumn="1" w:lastColumn="0" w:noHBand="0" w:noVBand="1"/>
      </w:tblPr>
      <w:tblGrid>
        <w:gridCol w:w="4528"/>
        <w:gridCol w:w="4528"/>
      </w:tblGrid>
      <w:tr w:rsidR="00DB7469" w:rsidTr="00DB7469">
        <w:tc>
          <w:tcPr>
            <w:tcW w:w="4528" w:type="dxa"/>
          </w:tcPr>
          <w:p w:rsidR="00DB7469" w:rsidRDefault="00DB7469" w:rsidP="00DB7469">
            <w:pPr>
              <w:pStyle w:val="Geenafstand"/>
              <w:numPr>
                <w:ilvl w:val="0"/>
                <w:numId w:val="5"/>
              </w:numPr>
              <w:ind w:left="311" w:hanging="284"/>
            </w:pPr>
            <w:r>
              <w:t>verklaren dat Afrikaanse landen veel problemen ondervinden door hun schulden, terwijl Nederland ondanks een veel hogere schuld daar  veel minder onder lijdt,</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het gevolg van export en import op de Nederlandse productie verklaren,</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uitleggen waarom een evenwicht tussen de uitgaande- en inkomende geldstroom voor landen belangrijk is.</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het ontstaan van internationale handel verklaren, waarbij je het begrip internationale arbeidsverdeling gebruikt,</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een definitie geven van het begrip “allocatie van productiefactoren”,</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het verschil uitleggen tussen absolute- en relatieve kostenverschillen,</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kun je de theorie van het begrip “relatieve kostenverschillen” toepassen in een eenvoudig getallenvoorbeeld,</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 xml:space="preserve">een vijftal factoren noemen die van invloed zijn op de internationale concurrentiepositie van een land, </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duidelijk maken wat met het begrip globalisering wordt bedoeld en daarvan concrete voorbeelden geven,</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een definitie geven van de economische begrippen “vrijhandel” en “welvaart”,</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vijf redenen noemen waarom landen hun eigen economie zouden willen beschermen,</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uitleggen waarom één van de vijf genoemde redenen algemeen wordt geaccepteerd,</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een definitie geven van het begrip “dumpen” (van goederen),</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lastRenderedPageBreak/>
              <w:t>onderscheid maken tussen tarifaire en non-tarifaire protectie maatregelen (al dan niet met voorbeelden),</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grafisch aantonen dat vrijhandel de welvaart bevordert, waarbij je de begrippen consumenten- en producentensurplus gebruikt,</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een definitie geven van het begrip “economische integratie tussen landen”,</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vijf voorbeelden van economische integratie noemen en uitleggen waarin deze vormen  van elkaar verschillen,</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het verschil duidelijk maken tussen een open en een gesloten economie,</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een definitie geven van de export- en importquote van een land,</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de exportquote en de importquote van een land berekenen als je daarvoor de juiste informatie hebt en aangeven waar wij deze quota als maatstaf voor gebruiken,</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een definitie geven van het begrip betalingsbalans,</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twee redenen bedenken waarom de betalingsbalans geen echte balans is,</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vertellen welke twee Nederlandse instanties een betalingsbalans opstellen en waaruit het verschil tussen deze twee balansen bestaat,</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onderscheid maken tussen de twee soorten transacties (lopende en financiële) op de betalingsbalans,</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een betalingsbalans opstellen met behulp van begrippen als: goederen-, diensten, inkomens(overdrachten)-, lopende-, financiële (kapitaal-) en totale rekening,</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aangeven welke soort transacties op al deze rekeningen staan geboekt,</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uitleggen waarvoor het dekkingspercentage als maatstaf wordt gebruikt,</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onderscheid maken tussen formeel en materieel evenwicht op de betalingsbalans,</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verklaren waarom een land met een zwevende (vrije) wisselkoers altijd materieel evenwicht op de betalingsbalans heeft,</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uitleggen welke invloed een sterke economische groei van een land op de betalingsbalans van dat land heeft (conjuncturele oorzaken),</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uitleggen wat het gevaar van een monocultuur op de betalingsbalans van een land is,</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uitleggen hoe de monetaire autoriteiten met behulp van de rentestand de betalingsbalans kunnen beïnvloeden,</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uitleggen met welke handelspolitieke maatregelen een overheid de betalingsbalans kan beïnvloeden,</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uitleggen dat een betalingsbalansoverschot tot een stijging van de binnenlandse liquiditeitenmassa leidt,</w:t>
            </w:r>
          </w:p>
          <w:p w:rsidR="00DB7469" w:rsidRDefault="00DB7469" w:rsidP="00DB7469">
            <w:pPr>
              <w:pStyle w:val="Geenafstand"/>
              <w:ind w:left="311" w:hanging="284"/>
            </w:pPr>
          </w:p>
          <w:p w:rsidR="00DB7469" w:rsidRDefault="00DB7469" w:rsidP="00DB7469">
            <w:pPr>
              <w:pStyle w:val="Geenafstand"/>
              <w:numPr>
                <w:ilvl w:val="0"/>
                <w:numId w:val="5"/>
              </w:numPr>
              <w:ind w:left="311" w:hanging="284"/>
            </w:pPr>
            <w:r>
              <w:t>uitleggen dat een betalingsbalansoverschot tot inflatie kan leiden, maar ook tot een daling van de conjunctuurwerkloosheid (daarbij maak je gebruik van de Verkeersvergelijking van Fisher),</w:t>
            </w:r>
          </w:p>
          <w:p w:rsidR="00DB7469" w:rsidRDefault="00DB7469"/>
        </w:tc>
        <w:tc>
          <w:tcPr>
            <w:tcW w:w="4528" w:type="dxa"/>
          </w:tcPr>
          <w:p w:rsidR="00DB7469" w:rsidRDefault="00DB7469"/>
        </w:tc>
      </w:tr>
    </w:tbl>
    <w:p w:rsidR="00DB7469" w:rsidRDefault="00DB7469"/>
    <w:p w:rsidR="00DB7469" w:rsidRDefault="00DB7469"/>
    <w:sectPr w:rsidR="00DB7469" w:rsidSect="007F6602">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6E8" w:rsidRDefault="004D26E8" w:rsidP="006A6764">
      <w:r>
        <w:separator/>
      </w:r>
    </w:p>
  </w:endnote>
  <w:endnote w:type="continuationSeparator" w:id="0">
    <w:p w:rsidR="004D26E8" w:rsidRDefault="004D26E8" w:rsidP="006A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764" w:rsidRDefault="006A67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764" w:rsidRDefault="006A67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764" w:rsidRDefault="006A67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6E8" w:rsidRDefault="004D26E8" w:rsidP="006A6764">
      <w:r>
        <w:separator/>
      </w:r>
    </w:p>
  </w:footnote>
  <w:footnote w:type="continuationSeparator" w:id="0">
    <w:p w:rsidR="004D26E8" w:rsidRDefault="004D26E8" w:rsidP="006A6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764" w:rsidRDefault="006A67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764" w:rsidRDefault="006A67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764" w:rsidRDefault="006A67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82B6F"/>
    <w:multiLevelType w:val="hybridMultilevel"/>
    <w:tmpl w:val="F878B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D50E6"/>
    <w:multiLevelType w:val="hybridMultilevel"/>
    <w:tmpl w:val="F67E09D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6C5617"/>
    <w:multiLevelType w:val="hybridMultilevel"/>
    <w:tmpl w:val="F3E40BC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492676"/>
    <w:multiLevelType w:val="hybridMultilevel"/>
    <w:tmpl w:val="7772C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116AC8"/>
    <w:multiLevelType w:val="hybridMultilevel"/>
    <w:tmpl w:val="7DB87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42"/>
    <w:rsid w:val="004D26E8"/>
    <w:rsid w:val="006A6764"/>
    <w:rsid w:val="007A2EF1"/>
    <w:rsid w:val="007F6602"/>
    <w:rsid w:val="00B76442"/>
    <w:rsid w:val="00DB74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B373A5-BA65-0F49-8D55-46ED9198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76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76442"/>
    <w:rPr>
      <w:sz w:val="22"/>
      <w:szCs w:val="22"/>
    </w:rPr>
  </w:style>
  <w:style w:type="paragraph" w:styleId="Lijstalinea">
    <w:name w:val="List Paragraph"/>
    <w:basedOn w:val="Standaard"/>
    <w:uiPriority w:val="34"/>
    <w:qFormat/>
    <w:rsid w:val="00B76442"/>
    <w:pPr>
      <w:spacing w:after="200" w:line="276" w:lineRule="auto"/>
      <w:ind w:left="720"/>
      <w:contextualSpacing/>
    </w:pPr>
    <w:rPr>
      <w:sz w:val="22"/>
      <w:szCs w:val="22"/>
    </w:rPr>
  </w:style>
  <w:style w:type="paragraph" w:styleId="Koptekst">
    <w:name w:val="header"/>
    <w:basedOn w:val="Standaard"/>
    <w:link w:val="KoptekstChar"/>
    <w:uiPriority w:val="99"/>
    <w:unhideWhenUsed/>
    <w:rsid w:val="006A6764"/>
    <w:pPr>
      <w:tabs>
        <w:tab w:val="center" w:pos="4536"/>
        <w:tab w:val="right" w:pos="9072"/>
      </w:tabs>
    </w:pPr>
  </w:style>
  <w:style w:type="character" w:customStyle="1" w:styleId="KoptekstChar">
    <w:name w:val="Koptekst Char"/>
    <w:basedOn w:val="Standaardalinea-lettertype"/>
    <w:link w:val="Koptekst"/>
    <w:uiPriority w:val="99"/>
    <w:rsid w:val="006A6764"/>
  </w:style>
  <w:style w:type="paragraph" w:styleId="Voettekst">
    <w:name w:val="footer"/>
    <w:basedOn w:val="Standaard"/>
    <w:link w:val="VoettekstChar"/>
    <w:uiPriority w:val="99"/>
    <w:unhideWhenUsed/>
    <w:rsid w:val="006A6764"/>
    <w:pPr>
      <w:tabs>
        <w:tab w:val="center" w:pos="4536"/>
        <w:tab w:val="right" w:pos="9072"/>
      </w:tabs>
    </w:pPr>
  </w:style>
  <w:style w:type="character" w:customStyle="1" w:styleId="VoettekstChar">
    <w:name w:val="Voettekst Char"/>
    <w:basedOn w:val="Standaardalinea-lettertype"/>
    <w:link w:val="Voettekst"/>
    <w:uiPriority w:val="99"/>
    <w:rsid w:val="006A6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2570</Words>
  <Characters>14136</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2019-09-03T19:49:00Z</dcterms:created>
  <dcterms:modified xsi:type="dcterms:W3CDTF">2019-09-03T19:49:00Z</dcterms:modified>
</cp:coreProperties>
</file>